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sz w:val="24"/>
          <w:szCs w:val="24"/>
        </w:rPr>
      </w:pPr>
    </w:p>
    <w:p w:rsidR="00EF76BC" w:rsidRDefault="00EF76BC" w:rsidP="00B6190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F76BC" w:rsidRDefault="00EF76BC" w:rsidP="00B6190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76BC" w:rsidRDefault="00EF76BC" w:rsidP="00B6190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EF76BC" w:rsidRDefault="00EF76BC" w:rsidP="00B6190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61909" w:rsidRDefault="00B61909" w:rsidP="00B61909">
      <w:pPr>
        <w:spacing w:line="240" w:lineRule="auto"/>
        <w:ind w:firstLine="720"/>
        <w:jc w:val="center"/>
        <w:rPr>
          <w:rFonts w:ascii="Times New Roman" w:hAnsi="Times New Roman" w:cs="Times New Roman"/>
          <w:sz w:val="24"/>
          <w:szCs w:val="24"/>
        </w:rPr>
      </w:pPr>
    </w:p>
    <w:p w:rsidR="00B61909" w:rsidRDefault="00B61909" w:rsidP="00B61909">
      <w:pPr>
        <w:spacing w:line="240" w:lineRule="auto"/>
        <w:ind w:firstLine="720"/>
        <w:jc w:val="center"/>
        <w:rPr>
          <w:rFonts w:ascii="Times New Roman" w:hAnsi="Times New Roman" w:cs="Times New Roman"/>
          <w:sz w:val="24"/>
          <w:szCs w:val="24"/>
        </w:rPr>
      </w:pPr>
    </w:p>
    <w:p w:rsidR="00B61909" w:rsidRPr="00EF76BC" w:rsidRDefault="00B61909" w:rsidP="00B61909">
      <w:pPr>
        <w:spacing w:line="240" w:lineRule="auto"/>
        <w:ind w:firstLine="720"/>
        <w:jc w:val="center"/>
        <w:rPr>
          <w:rFonts w:ascii="Times New Roman" w:hAnsi="Times New Roman" w:cs="Times New Roman"/>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EF76BC" w:rsidRDefault="00EF76BC" w:rsidP="00D1295D">
      <w:pPr>
        <w:spacing w:line="480" w:lineRule="auto"/>
        <w:ind w:firstLine="720"/>
        <w:jc w:val="center"/>
        <w:rPr>
          <w:rFonts w:ascii="Times New Roman" w:hAnsi="Times New Roman" w:cs="Times New Roman"/>
          <w:b/>
          <w:sz w:val="24"/>
          <w:szCs w:val="24"/>
        </w:rPr>
      </w:pPr>
    </w:p>
    <w:p w:rsidR="00AF0D27" w:rsidRPr="00AF0D27" w:rsidRDefault="00AF0D27" w:rsidP="00AF0D27">
      <w:pPr>
        <w:spacing w:line="240" w:lineRule="auto"/>
        <w:ind w:firstLine="720"/>
        <w:jc w:val="center"/>
        <w:rPr>
          <w:rFonts w:ascii="Calibri" w:eastAsia="Times New Roman" w:hAnsi="Calibri" w:cs="Calibri"/>
        </w:rPr>
      </w:pPr>
      <w:r w:rsidRPr="00AF0D27">
        <w:rPr>
          <w:rFonts w:ascii="Times New Roman" w:eastAsia="Times New Roman" w:hAnsi="Times New Roman" w:cs="Times New Roman"/>
          <w:b/>
          <w:bCs/>
          <w:sz w:val="24"/>
          <w:szCs w:val="24"/>
        </w:rPr>
        <w:lastRenderedPageBreak/>
        <w:t>Mechanism of action of Eravacycline drugs</w:t>
      </w:r>
    </w:p>
    <w:p w:rsidR="00AF0D27" w:rsidRPr="00AF0D27" w:rsidRDefault="00AF0D27" w:rsidP="00AF0D27">
      <w:pPr>
        <w:spacing w:line="240" w:lineRule="auto"/>
        <w:ind w:firstLine="720"/>
        <w:rPr>
          <w:rFonts w:ascii="Calibri" w:eastAsia="Times New Roman" w:hAnsi="Calibri" w:cs="Calibri"/>
        </w:rPr>
      </w:pPr>
      <w:r w:rsidRPr="00AF0D27">
        <w:rPr>
          <w:rFonts w:ascii="Times New Roman" w:eastAsia="Times New Roman" w:hAnsi="Times New Roman" w:cs="Times New Roman"/>
          <w:sz w:val="24"/>
          <w:szCs w:val="24"/>
        </w:rPr>
        <w:t xml:space="preserve">Eravacycline drugs have been evaluated, and accepted for the treatment of </w:t>
      </w:r>
      <w:r w:rsidR="002C69B1">
        <w:rPr>
          <w:rFonts w:ascii="Times New Roman" w:eastAsia="Times New Roman" w:hAnsi="Times New Roman" w:cs="Times New Roman"/>
          <w:sz w:val="24"/>
          <w:szCs w:val="24"/>
        </w:rPr>
        <w:t xml:space="preserve">critical </w:t>
      </w:r>
      <w:r w:rsidRPr="00AF0D27">
        <w:rPr>
          <w:rFonts w:ascii="Times New Roman" w:eastAsia="Times New Roman" w:hAnsi="Times New Roman" w:cs="Times New Roman"/>
          <w:sz w:val="24"/>
          <w:szCs w:val="24"/>
        </w:rPr>
        <w:t>abdominal infection, especially for people who are 18</w:t>
      </w:r>
      <w:r w:rsidR="002C69B1">
        <w:rPr>
          <w:rFonts w:ascii="Times New Roman" w:eastAsia="Times New Roman" w:hAnsi="Times New Roman" w:cs="Times New Roman"/>
          <w:sz w:val="24"/>
          <w:szCs w:val="24"/>
        </w:rPr>
        <w:t xml:space="preserve"> </w:t>
      </w:r>
      <w:bookmarkStart w:id="0" w:name="_GoBack"/>
      <w:bookmarkEnd w:id="0"/>
      <w:r w:rsidRPr="00AF0D27">
        <w:rPr>
          <w:rFonts w:ascii="Times New Roman" w:eastAsia="Times New Roman" w:hAnsi="Times New Roman" w:cs="Times New Roman"/>
          <w:sz w:val="24"/>
          <w:szCs w:val="24"/>
        </w:rPr>
        <w:t xml:space="preserve">years and older. They have been approved for their antimicrobial activity against bacteria. Eravacycline is biotic that is fully synthetic and comprised of fluorocycline antibiotics (Scott, 2019). Eravacycline constitutes of tetracyclic scaffold compound. One of the epic modifications made on the tetracyclic ring is the addition of fluorine atom at the position C7. There is an addition of the pyrrolidinoacetamo group on the C9 position of the tetracyclic ring. The compositions of the C7 and C9 are not present in semisynthetic tetracyclines. Eravacycline works similarly to other </w:t>
      </w:r>
      <w:r>
        <w:rPr>
          <w:rFonts w:ascii="Times New Roman" w:eastAsia="Times New Roman" w:hAnsi="Times New Roman" w:cs="Times New Roman"/>
          <w:sz w:val="24"/>
          <w:szCs w:val="24"/>
        </w:rPr>
        <w:t>tetracycline</w:t>
      </w:r>
      <w:r w:rsidRPr="00AF0D27">
        <w:rPr>
          <w:rFonts w:ascii="Times New Roman" w:eastAsia="Times New Roman" w:hAnsi="Times New Roman" w:cs="Times New Roman"/>
          <w:sz w:val="24"/>
          <w:szCs w:val="24"/>
        </w:rPr>
        <w:t>s by their impressive antibacterial action of reverse binding to the bacterial ribosomal subunits. Though this process is where the accumulation of the amino acids is prevented. The drug also has a high affinity for ribosomal binding which greatly encourages the inhibited protein synthesis on the areas of the abdomen infected with the bacteria. Eravacycline drug is injected into the veins and at times administered in the form of the oral formulation. While in the bloodstream, the drug treats and eliminates infections that are suspected to be caused as a result of bacteria (Brooks, 2018). The eravacycline drug acts by disrupting the bacterial proteins from being synthesized. By this action, the accumulation of the bacteria amino acids is prevented thus stopping the multiplication of the bacteria. Intravenous eravacycline is approved in various countries for its potential activity against Gram-positive, negative aerobic, and anaerobic bacteria. It is acceptable in many countries for it</w:t>
      </w:r>
      <w:r w:rsidR="002C69B1">
        <w:rPr>
          <w:rFonts w:ascii="Times New Roman" w:eastAsia="Times New Roman" w:hAnsi="Times New Roman" w:cs="Times New Roman"/>
          <w:sz w:val="24"/>
          <w:szCs w:val="24"/>
        </w:rPr>
        <w:t xml:space="preserve"> i</w:t>
      </w:r>
      <w:r w:rsidRPr="00AF0D27">
        <w:rPr>
          <w:rFonts w:ascii="Times New Roman" w:eastAsia="Times New Roman" w:hAnsi="Times New Roman" w:cs="Times New Roman"/>
          <w:sz w:val="24"/>
          <w:szCs w:val="24"/>
        </w:rPr>
        <w:t xml:space="preserve">s most broad spectrum-like the activity of treating complicated intra-abdominal infections. </w:t>
      </w:r>
    </w:p>
    <w:p w:rsidR="00AF0D27" w:rsidRPr="00AF0D27" w:rsidRDefault="00AF0D27" w:rsidP="00AF0D27">
      <w:pPr>
        <w:spacing w:line="240" w:lineRule="auto"/>
        <w:ind w:firstLine="720"/>
        <w:jc w:val="center"/>
        <w:rPr>
          <w:rFonts w:ascii="Calibri" w:eastAsia="Times New Roman" w:hAnsi="Calibri" w:cs="Calibri"/>
        </w:rPr>
      </w:pPr>
      <w:r w:rsidRPr="00AF0D27">
        <w:rPr>
          <w:rFonts w:ascii="Times New Roman" w:eastAsia="Times New Roman" w:hAnsi="Times New Roman" w:cs="Times New Roman"/>
          <w:b/>
          <w:bCs/>
          <w:sz w:val="24"/>
          <w:szCs w:val="24"/>
        </w:rPr>
        <w:t>Bacterial resistance mechanisms</w:t>
      </w:r>
    </w:p>
    <w:p w:rsidR="00AF0D27" w:rsidRPr="00AF0D27" w:rsidRDefault="00AF0D27" w:rsidP="00AF0D27">
      <w:pPr>
        <w:spacing w:line="240" w:lineRule="auto"/>
        <w:ind w:firstLine="720"/>
        <w:rPr>
          <w:rFonts w:ascii="Calibri" w:eastAsia="Times New Roman" w:hAnsi="Calibri" w:cs="Calibri"/>
        </w:rPr>
      </w:pPr>
      <w:r w:rsidRPr="00AF0D27">
        <w:rPr>
          <w:rFonts w:ascii="Times New Roman" w:eastAsia="Times New Roman" w:hAnsi="Times New Roman" w:cs="Times New Roman"/>
          <w:sz w:val="24"/>
          <w:szCs w:val="24"/>
        </w:rPr>
        <w:t>Widespread use of antibiotics promotes the growth of antibiotic genes, and this creates in a scenario that increases the chances of resistance in the event where human pathogens are involved. According to Zhao (2019), the development of the drug-resistant bacteria can be reduced by ensuring that the taking in of the right amount of eravacycline drugs and other antibacterial drugs is adhered to. The protein bindings of the eravacycline increase with the increase of plasma concentration in the blood which boosts the body’s ability to fight against bacterial infections. Eravacycline is effective in fighting against gram-positive bacterial strains that tend to express tetracycline resistance behavior. Examples of such bacteria involve the Staphylococcus aureus and the Enterococcus faecalis. Zhao once again indicates that the most effective way that the drug enables recovery is by the disruption of bacterial protein synthesis. The eravacycline drug has proved to inhibit up to 90 percent of the isolated bacterial organisms involved. For the Gram-positive bacteria, with the carbapenem-resistant ones inclusive, the eravacycline works to ensure the elimination of all these potential pathogens. There are also different tetracycline efflux resistant pumps that have been identified to help in coping with the gram negative bacteria. The efflux pump reactions with the gram negative bacteria act as a binding site on the ribosomal proteins of the bacteria thus bringing forth resistance. Other key mechanisms incorporated within the eravacycline causes the degradation of the bacterial ribosomal Ribonucleic Acid (RNA).  In the event of this ongoing activity, eravacycline resistance for bacteria in the bodies of some patients is associated with side effects but recovery is assured in the future.</w:t>
      </w:r>
    </w:p>
    <w:p w:rsidR="00B61909" w:rsidRDefault="00B61909" w:rsidP="00B61909">
      <w:pPr>
        <w:shd w:val="clear" w:color="auto" w:fill="FFFFFF"/>
        <w:spacing w:after="0" w:line="240" w:lineRule="auto"/>
        <w:rPr>
          <w:rFonts w:ascii="Times New Roman" w:eastAsia="Times New Roman" w:hAnsi="Times New Roman" w:cs="Times New Roman"/>
          <w:color w:val="000000"/>
          <w:sz w:val="24"/>
          <w:szCs w:val="24"/>
        </w:rPr>
      </w:pPr>
    </w:p>
    <w:p w:rsidR="00AF0D27" w:rsidRDefault="00AF0D27" w:rsidP="00B61909">
      <w:pPr>
        <w:shd w:val="clear" w:color="auto" w:fill="FFFFFF"/>
        <w:spacing w:after="0" w:line="240" w:lineRule="auto"/>
        <w:jc w:val="center"/>
        <w:rPr>
          <w:rFonts w:ascii="Times New Roman" w:eastAsia="Times New Roman" w:hAnsi="Times New Roman" w:cs="Times New Roman"/>
          <w:color w:val="000000"/>
          <w:sz w:val="24"/>
          <w:szCs w:val="24"/>
        </w:rPr>
      </w:pPr>
    </w:p>
    <w:p w:rsidR="003533F2" w:rsidRPr="00B61909" w:rsidRDefault="003533F2" w:rsidP="00B61909">
      <w:pPr>
        <w:shd w:val="clear" w:color="auto" w:fill="FFFFFF"/>
        <w:spacing w:after="0" w:line="240" w:lineRule="auto"/>
        <w:jc w:val="center"/>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References</w:t>
      </w:r>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Brooks, M. (2018, August 28). </w:t>
      </w:r>
      <w:r w:rsidRPr="00B61909">
        <w:rPr>
          <w:rFonts w:ascii="Times New Roman" w:eastAsia="Times New Roman" w:hAnsi="Times New Roman" w:cs="Times New Roman"/>
          <w:i/>
          <w:iCs/>
          <w:color w:val="000000"/>
          <w:sz w:val="24"/>
          <w:szCs w:val="24"/>
        </w:rPr>
        <w:t>FDA approves new antibacterial Eravacycline (Xerava)</w:t>
      </w:r>
      <w:r w:rsidRPr="00B61909">
        <w:rPr>
          <w:rFonts w:ascii="Times New Roman" w:eastAsia="Times New Roman" w:hAnsi="Times New Roman" w:cs="Times New Roman"/>
          <w:color w:val="000000"/>
          <w:sz w:val="24"/>
          <w:szCs w:val="24"/>
        </w:rPr>
        <w:t>. Medscape. </w:t>
      </w:r>
      <w:hyperlink r:id="rId6" w:history="1">
        <w:r w:rsidRPr="00B61909">
          <w:rPr>
            <w:rFonts w:ascii="Times New Roman" w:eastAsia="Times New Roman" w:hAnsi="Times New Roman" w:cs="Times New Roman"/>
            <w:color w:val="000000"/>
            <w:sz w:val="24"/>
            <w:szCs w:val="24"/>
          </w:rPr>
          <w:t>https://www.medscape.com/viewarticle/901305</w:t>
        </w:r>
      </w:hyperlink>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Dever, L. A., &amp; Dermody, T. S. (n.d.). </w:t>
      </w:r>
      <w:r w:rsidRPr="00B61909">
        <w:rPr>
          <w:rFonts w:ascii="Times New Roman" w:eastAsia="Times New Roman" w:hAnsi="Times New Roman" w:cs="Times New Roman"/>
          <w:i/>
          <w:iCs/>
          <w:color w:val="000000"/>
          <w:sz w:val="24"/>
          <w:szCs w:val="24"/>
        </w:rPr>
        <w:t>Mechanisms of bacterial resistance to antibiotics. - PubMed - NCBI</w:t>
      </w:r>
      <w:r w:rsidRPr="00B61909">
        <w:rPr>
          <w:rFonts w:ascii="Times New Roman" w:eastAsia="Times New Roman" w:hAnsi="Times New Roman" w:cs="Times New Roman"/>
          <w:color w:val="000000"/>
          <w:sz w:val="24"/>
          <w:szCs w:val="24"/>
        </w:rPr>
        <w:t>. National Center for Biotechnology Information. </w:t>
      </w:r>
      <w:hyperlink r:id="rId7" w:history="1">
        <w:r w:rsidRPr="00B61909">
          <w:rPr>
            <w:rFonts w:ascii="Times New Roman" w:eastAsia="Times New Roman" w:hAnsi="Times New Roman" w:cs="Times New Roman"/>
            <w:color w:val="000000"/>
            <w:sz w:val="24"/>
            <w:szCs w:val="24"/>
          </w:rPr>
          <w:t>https://www.ncbi.nlm.nih.gov/pubmed/?term=Dever%20LA%5BAuthor%5D&amp;cauthor=true&amp;cauthor_uid=2025137</w:t>
        </w:r>
      </w:hyperlink>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Drugbank. (2020). </w:t>
      </w:r>
      <w:r w:rsidRPr="00B61909">
        <w:rPr>
          <w:rFonts w:ascii="Times New Roman" w:eastAsia="Times New Roman" w:hAnsi="Times New Roman" w:cs="Times New Roman"/>
          <w:i/>
          <w:iCs/>
          <w:color w:val="000000"/>
          <w:sz w:val="24"/>
          <w:szCs w:val="24"/>
        </w:rPr>
        <w:t>Eravacycline</w:t>
      </w:r>
      <w:r w:rsidRPr="00B61909">
        <w:rPr>
          <w:rFonts w:ascii="Times New Roman" w:eastAsia="Times New Roman" w:hAnsi="Times New Roman" w:cs="Times New Roman"/>
          <w:color w:val="000000"/>
          <w:sz w:val="24"/>
          <w:szCs w:val="24"/>
        </w:rPr>
        <w:t>. DrugBank. </w:t>
      </w:r>
      <w:hyperlink r:id="rId8" w:history="1">
        <w:r w:rsidRPr="00B61909">
          <w:rPr>
            <w:rFonts w:ascii="Times New Roman" w:eastAsia="Times New Roman" w:hAnsi="Times New Roman" w:cs="Times New Roman"/>
            <w:color w:val="000000"/>
            <w:sz w:val="24"/>
            <w:szCs w:val="24"/>
          </w:rPr>
          <w:t>https://www.drugbank.ca/drugs/DB12329</w:t>
        </w:r>
      </w:hyperlink>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Scott, J. L. (2019, February 20). </w:t>
      </w:r>
      <w:r w:rsidRPr="00B61909">
        <w:rPr>
          <w:rFonts w:ascii="Times New Roman" w:eastAsia="Times New Roman" w:hAnsi="Times New Roman" w:cs="Times New Roman"/>
          <w:i/>
          <w:iCs/>
          <w:color w:val="000000"/>
          <w:sz w:val="24"/>
          <w:szCs w:val="24"/>
        </w:rPr>
        <w:t>Eravacycline: A review in complicated intra-abdominal infections</w:t>
      </w:r>
      <w:r w:rsidRPr="00B61909">
        <w:rPr>
          <w:rFonts w:ascii="Times New Roman" w:eastAsia="Times New Roman" w:hAnsi="Times New Roman" w:cs="Times New Roman"/>
          <w:color w:val="000000"/>
          <w:sz w:val="24"/>
          <w:szCs w:val="24"/>
        </w:rPr>
        <w:t>. Drugs. </w:t>
      </w:r>
      <w:hyperlink r:id="rId9" w:history="1">
        <w:r w:rsidRPr="00B61909">
          <w:rPr>
            <w:rFonts w:ascii="Times New Roman" w:eastAsia="Times New Roman" w:hAnsi="Times New Roman" w:cs="Times New Roman"/>
            <w:color w:val="000000"/>
            <w:sz w:val="24"/>
            <w:szCs w:val="24"/>
          </w:rPr>
          <w:t>https://link.springer.com/article/10.1007/s40265-019-01067-3</w:t>
        </w:r>
      </w:hyperlink>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Wencewicz, T. A. (2019, August 23). </w:t>
      </w:r>
      <w:r w:rsidRPr="00B61909">
        <w:rPr>
          <w:rFonts w:ascii="Times New Roman" w:eastAsia="Times New Roman" w:hAnsi="Times New Roman" w:cs="Times New Roman"/>
          <w:i/>
          <w:iCs/>
          <w:color w:val="000000"/>
          <w:sz w:val="24"/>
          <w:szCs w:val="24"/>
        </w:rPr>
        <w:t>Crossroads of antibiotic resistance and biosynthesis</w:t>
      </w:r>
      <w:r w:rsidRPr="00B61909">
        <w:rPr>
          <w:rFonts w:ascii="Times New Roman" w:eastAsia="Times New Roman" w:hAnsi="Times New Roman" w:cs="Times New Roman"/>
          <w:color w:val="000000"/>
          <w:sz w:val="24"/>
          <w:szCs w:val="24"/>
        </w:rPr>
        <w:t>. ScienceDirect.com | Science, health and medical journals, full text articles, and books. </w:t>
      </w:r>
      <w:hyperlink r:id="rId10" w:history="1">
        <w:r w:rsidRPr="00B61909">
          <w:rPr>
            <w:rFonts w:ascii="Times New Roman" w:eastAsia="Times New Roman" w:hAnsi="Times New Roman" w:cs="Times New Roman"/>
            <w:color w:val="000000"/>
            <w:sz w:val="24"/>
            <w:szCs w:val="24"/>
          </w:rPr>
          <w:t>https://www.sciencedirect.com/science/article/abs/pii/S0022283619304310</w:t>
        </w:r>
      </w:hyperlink>
    </w:p>
    <w:p w:rsidR="003533F2" w:rsidRPr="00B61909" w:rsidRDefault="003533F2" w:rsidP="00B61909">
      <w:pPr>
        <w:shd w:val="clear" w:color="auto" w:fill="FFFFFF"/>
        <w:spacing w:before="100" w:beforeAutospacing="1" w:after="100" w:afterAutospacing="1" w:line="240" w:lineRule="auto"/>
        <w:ind w:left="720" w:hanging="720"/>
        <w:rPr>
          <w:rFonts w:ascii="Times New Roman" w:eastAsia="Times New Roman" w:hAnsi="Times New Roman" w:cs="Times New Roman"/>
          <w:color w:val="000000"/>
          <w:sz w:val="24"/>
          <w:szCs w:val="24"/>
        </w:rPr>
      </w:pPr>
      <w:r w:rsidRPr="00B61909">
        <w:rPr>
          <w:rFonts w:ascii="Times New Roman" w:eastAsia="Times New Roman" w:hAnsi="Times New Roman" w:cs="Times New Roman"/>
          <w:color w:val="000000"/>
          <w:sz w:val="24"/>
          <w:szCs w:val="24"/>
        </w:rPr>
        <w:t>Zhao, C. (2019, June 10). </w:t>
      </w:r>
      <w:r w:rsidRPr="00B61909">
        <w:rPr>
          <w:rFonts w:ascii="Times New Roman" w:eastAsia="Times New Roman" w:hAnsi="Times New Roman" w:cs="Times New Roman"/>
          <w:i/>
          <w:iCs/>
          <w:color w:val="000000"/>
          <w:sz w:val="24"/>
          <w:szCs w:val="24"/>
        </w:rPr>
        <w:t>In vitro activities of Eravacycline against 336 isolates collected from 2012 to 2016 from 11 teaching hospitals in China</w:t>
      </w:r>
      <w:r w:rsidRPr="00B61909">
        <w:rPr>
          <w:rFonts w:ascii="Times New Roman" w:eastAsia="Times New Roman" w:hAnsi="Times New Roman" w:cs="Times New Roman"/>
          <w:color w:val="000000"/>
          <w:sz w:val="24"/>
          <w:szCs w:val="24"/>
        </w:rPr>
        <w:t>. BMC Infectious Diseases. </w:t>
      </w:r>
      <w:hyperlink r:id="rId11" w:history="1">
        <w:r w:rsidRPr="00B61909">
          <w:rPr>
            <w:rFonts w:ascii="Times New Roman" w:eastAsia="Times New Roman" w:hAnsi="Times New Roman" w:cs="Times New Roman"/>
            <w:color w:val="000000"/>
            <w:sz w:val="24"/>
            <w:szCs w:val="24"/>
          </w:rPr>
          <w:t>https://bmcinfectdis.biomedcentral.com/articles/10.1186/s12879-019-4093-1</w:t>
        </w:r>
      </w:hyperlink>
    </w:p>
    <w:p w:rsidR="00EF76BC" w:rsidRDefault="00EF76BC" w:rsidP="00B61909">
      <w:pPr>
        <w:spacing w:before="100" w:beforeAutospacing="1" w:after="100" w:afterAutospacing="1" w:line="240" w:lineRule="auto"/>
        <w:ind w:left="720" w:hanging="720"/>
        <w:rPr>
          <w:rFonts w:ascii="Times New Roman" w:hAnsi="Times New Roman" w:cs="Times New Roman"/>
          <w:sz w:val="24"/>
          <w:szCs w:val="24"/>
        </w:rPr>
      </w:pPr>
    </w:p>
    <w:p w:rsidR="00EF76BC" w:rsidRPr="005C7031" w:rsidRDefault="00EF76BC" w:rsidP="007A199D">
      <w:pPr>
        <w:spacing w:line="480" w:lineRule="auto"/>
        <w:ind w:firstLine="720"/>
        <w:rPr>
          <w:rFonts w:ascii="Times New Roman" w:hAnsi="Times New Roman" w:cs="Times New Roman"/>
          <w:sz w:val="24"/>
          <w:szCs w:val="24"/>
        </w:rPr>
      </w:pPr>
    </w:p>
    <w:sectPr w:rsidR="00EF76BC" w:rsidRPr="005C7031" w:rsidSect="00B6190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C87" w:rsidRDefault="001F6C87" w:rsidP="00EF76BC">
      <w:pPr>
        <w:spacing w:after="0" w:line="240" w:lineRule="auto"/>
      </w:pPr>
      <w:r>
        <w:separator/>
      </w:r>
    </w:p>
  </w:endnote>
  <w:endnote w:type="continuationSeparator" w:id="0">
    <w:p w:rsidR="001F6C87" w:rsidRDefault="001F6C87" w:rsidP="00EF7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C87" w:rsidRDefault="001F6C87" w:rsidP="00EF76BC">
      <w:pPr>
        <w:spacing w:after="0" w:line="240" w:lineRule="auto"/>
      </w:pPr>
      <w:r>
        <w:separator/>
      </w:r>
    </w:p>
  </w:footnote>
  <w:footnote w:type="continuationSeparator" w:id="0">
    <w:p w:rsidR="001F6C87" w:rsidRDefault="001F6C87" w:rsidP="00EF7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ACE" w:rsidRPr="00EF76BC" w:rsidRDefault="00800ACE" w:rsidP="00B61909">
    <w:pPr>
      <w:pStyle w:val="Header"/>
      <w:rPr>
        <w:rFonts w:ascii="Times New Roman" w:hAnsi="Times New Roman" w:cs="Times New Roman"/>
        <w:sz w:val="24"/>
        <w:szCs w:val="24"/>
      </w:rPr>
    </w:pPr>
    <w:r w:rsidRPr="00EF76BC">
      <w:rPr>
        <w:rFonts w:ascii="Times New Roman" w:hAnsi="Times New Roman" w:cs="Times New Roman"/>
        <w:sz w:val="24"/>
        <w:szCs w:val="24"/>
      </w:rPr>
      <w:t>ERAVACYCLINE DRUGS IN ANTIBIOTICS</w:t>
    </w:r>
    <w:sdt>
      <w:sdtPr>
        <w:rPr>
          <w:rFonts w:ascii="Times New Roman" w:hAnsi="Times New Roman" w:cs="Times New Roman"/>
          <w:sz w:val="24"/>
          <w:szCs w:val="24"/>
        </w:rPr>
        <w:id w:val="1305045658"/>
        <w:docPartObj>
          <w:docPartGallery w:val="Page Numbers (Top of Page)"/>
          <w:docPartUnique/>
        </w:docPartObj>
      </w:sdtPr>
      <w:sdtEndPr>
        <w:rPr>
          <w:noProof/>
        </w:rPr>
      </w:sdtEndPr>
      <w:sdtContent>
        <w:r w:rsidR="00B61909">
          <w:rPr>
            <w:rFonts w:ascii="Times New Roman" w:hAnsi="Times New Roman" w:cs="Times New Roman"/>
            <w:sz w:val="24"/>
            <w:szCs w:val="24"/>
          </w:rPr>
          <w:t xml:space="preserve">     </w:t>
        </w:r>
        <w:r w:rsidR="00B61909">
          <w:rPr>
            <w:rFonts w:ascii="Times New Roman" w:hAnsi="Times New Roman" w:cs="Times New Roman"/>
            <w:sz w:val="24"/>
            <w:szCs w:val="24"/>
          </w:rPr>
          <w:tab/>
        </w:r>
        <w:r>
          <w:rPr>
            <w:rFonts w:ascii="Times New Roman" w:hAnsi="Times New Roman" w:cs="Times New Roman"/>
            <w:sz w:val="24"/>
            <w:szCs w:val="24"/>
          </w:rPr>
          <w:t xml:space="preserve">                                           </w:t>
        </w:r>
        <w:r w:rsidRPr="00EF76BC">
          <w:rPr>
            <w:rFonts w:ascii="Times New Roman" w:hAnsi="Times New Roman" w:cs="Times New Roman"/>
            <w:sz w:val="24"/>
            <w:szCs w:val="24"/>
          </w:rPr>
          <w:fldChar w:fldCharType="begin"/>
        </w:r>
        <w:r w:rsidRPr="00EF76BC">
          <w:rPr>
            <w:rFonts w:ascii="Times New Roman" w:hAnsi="Times New Roman" w:cs="Times New Roman"/>
            <w:sz w:val="24"/>
            <w:szCs w:val="24"/>
          </w:rPr>
          <w:instrText xml:space="preserve"> PAGE   \* MERGEFORMAT </w:instrText>
        </w:r>
        <w:r w:rsidRPr="00EF76BC">
          <w:rPr>
            <w:rFonts w:ascii="Times New Roman" w:hAnsi="Times New Roman" w:cs="Times New Roman"/>
            <w:sz w:val="24"/>
            <w:szCs w:val="24"/>
          </w:rPr>
          <w:fldChar w:fldCharType="separate"/>
        </w:r>
        <w:r w:rsidR="002C69B1">
          <w:rPr>
            <w:rFonts w:ascii="Times New Roman" w:hAnsi="Times New Roman" w:cs="Times New Roman"/>
            <w:noProof/>
            <w:sz w:val="24"/>
            <w:szCs w:val="24"/>
          </w:rPr>
          <w:t>3</w:t>
        </w:r>
        <w:r w:rsidRPr="00EF76BC">
          <w:rPr>
            <w:rFonts w:ascii="Times New Roman" w:hAnsi="Times New Roman" w:cs="Times New Roman"/>
            <w:noProof/>
            <w:sz w:val="24"/>
            <w:szCs w:val="24"/>
          </w:rPr>
          <w:fldChar w:fldCharType="end"/>
        </w:r>
      </w:sdtContent>
    </w:sdt>
  </w:p>
  <w:p w:rsidR="00800ACE" w:rsidRDefault="00800A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909" w:rsidRPr="00B61909" w:rsidRDefault="00B61909" w:rsidP="00B61909">
    <w:pPr>
      <w:pStyle w:val="Header"/>
      <w:jc w:val="right"/>
      <w:rPr>
        <w:rFonts w:ascii="Times New Roman" w:hAnsi="Times New Roman" w:cs="Times New Roman"/>
        <w:sz w:val="24"/>
        <w:szCs w:val="24"/>
      </w:rPr>
    </w:pPr>
    <w:r w:rsidRPr="00EF76BC">
      <w:rPr>
        <w:rFonts w:ascii="Times New Roman" w:hAnsi="Times New Roman" w:cs="Times New Roman"/>
        <w:sz w:val="24"/>
        <w:szCs w:val="24"/>
      </w:rPr>
      <w:t>Running head: ERAVACYCLINE DRUGS IN ANTIBIOTICS</w:t>
    </w:r>
    <w:sdt>
      <w:sdtPr>
        <w:rPr>
          <w:rFonts w:ascii="Times New Roman" w:hAnsi="Times New Roman" w:cs="Times New Roman"/>
          <w:sz w:val="24"/>
          <w:szCs w:val="24"/>
        </w:rPr>
        <w:id w:val="197926852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F76BC">
          <w:rPr>
            <w:rFonts w:ascii="Times New Roman" w:hAnsi="Times New Roman" w:cs="Times New Roman"/>
            <w:sz w:val="24"/>
            <w:szCs w:val="24"/>
          </w:rPr>
          <w:fldChar w:fldCharType="begin"/>
        </w:r>
        <w:r w:rsidRPr="00EF76BC">
          <w:rPr>
            <w:rFonts w:ascii="Times New Roman" w:hAnsi="Times New Roman" w:cs="Times New Roman"/>
            <w:sz w:val="24"/>
            <w:szCs w:val="24"/>
          </w:rPr>
          <w:instrText xml:space="preserve"> PAGE   \* MERGEFORMAT </w:instrText>
        </w:r>
        <w:r w:rsidRPr="00EF76BC">
          <w:rPr>
            <w:rFonts w:ascii="Times New Roman" w:hAnsi="Times New Roman" w:cs="Times New Roman"/>
            <w:sz w:val="24"/>
            <w:szCs w:val="24"/>
          </w:rPr>
          <w:fldChar w:fldCharType="separate"/>
        </w:r>
        <w:r w:rsidR="001F6C87">
          <w:rPr>
            <w:rFonts w:ascii="Times New Roman" w:hAnsi="Times New Roman" w:cs="Times New Roman"/>
            <w:noProof/>
            <w:sz w:val="24"/>
            <w:szCs w:val="24"/>
          </w:rPr>
          <w:t>1</w:t>
        </w:r>
        <w:r w:rsidRPr="00EF76B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NrQ0NTWxNLMwM7dQ0lEKTi0uzszPAykwrAUAW7zlUSwAAAA="/>
  </w:docVars>
  <w:rsids>
    <w:rsidRoot w:val="005C7031"/>
    <w:rsid w:val="00043BB5"/>
    <w:rsid w:val="00101116"/>
    <w:rsid w:val="00197FC7"/>
    <w:rsid w:val="001F6C87"/>
    <w:rsid w:val="002C69B1"/>
    <w:rsid w:val="00315F00"/>
    <w:rsid w:val="003533F2"/>
    <w:rsid w:val="00425717"/>
    <w:rsid w:val="005423BC"/>
    <w:rsid w:val="005C7031"/>
    <w:rsid w:val="006947D2"/>
    <w:rsid w:val="006A28D5"/>
    <w:rsid w:val="006A4E39"/>
    <w:rsid w:val="00737949"/>
    <w:rsid w:val="00746DA0"/>
    <w:rsid w:val="007A199D"/>
    <w:rsid w:val="00800ACE"/>
    <w:rsid w:val="00804F7C"/>
    <w:rsid w:val="0084512E"/>
    <w:rsid w:val="008B4389"/>
    <w:rsid w:val="00AD727F"/>
    <w:rsid w:val="00AF0D27"/>
    <w:rsid w:val="00B57579"/>
    <w:rsid w:val="00B61909"/>
    <w:rsid w:val="00B63B02"/>
    <w:rsid w:val="00B77930"/>
    <w:rsid w:val="00D1295D"/>
    <w:rsid w:val="00D93210"/>
    <w:rsid w:val="00EE1369"/>
    <w:rsid w:val="00EF76BC"/>
    <w:rsid w:val="00FA54F0"/>
    <w:rsid w:val="00FE5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496992-9F07-4D62-A856-85D96F25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6BC"/>
  </w:style>
  <w:style w:type="paragraph" w:styleId="Footer">
    <w:name w:val="footer"/>
    <w:basedOn w:val="Normal"/>
    <w:link w:val="FooterChar"/>
    <w:uiPriority w:val="99"/>
    <w:unhideWhenUsed/>
    <w:rsid w:val="00EF7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6BC"/>
  </w:style>
  <w:style w:type="paragraph" w:styleId="NormalWeb">
    <w:name w:val="Normal (Web)"/>
    <w:basedOn w:val="Normal"/>
    <w:uiPriority w:val="99"/>
    <w:semiHidden/>
    <w:unhideWhenUsed/>
    <w:rsid w:val="003533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33F2"/>
    <w:rPr>
      <w:i/>
      <w:iCs/>
    </w:rPr>
  </w:style>
  <w:style w:type="character" w:styleId="Hyperlink">
    <w:name w:val="Hyperlink"/>
    <w:basedOn w:val="DefaultParagraphFont"/>
    <w:uiPriority w:val="99"/>
    <w:semiHidden/>
    <w:unhideWhenUsed/>
    <w:rsid w:val="00353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79223">
      <w:bodyDiv w:val="1"/>
      <w:marLeft w:val="0"/>
      <w:marRight w:val="0"/>
      <w:marTop w:val="0"/>
      <w:marBottom w:val="0"/>
      <w:divBdr>
        <w:top w:val="none" w:sz="0" w:space="0" w:color="auto"/>
        <w:left w:val="none" w:sz="0" w:space="0" w:color="auto"/>
        <w:bottom w:val="none" w:sz="0" w:space="0" w:color="auto"/>
        <w:right w:val="none" w:sz="0" w:space="0" w:color="auto"/>
      </w:divBdr>
    </w:div>
    <w:div w:id="213151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bank.ca/drugs/DB12329"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ncbi.nlm.nih.gov/pubmed/?term=Dever%20LA%5BAuthor%5D&amp;cauthor=true&amp;cauthor_uid=2025137"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scape.com/viewarticle/901305" TargetMode="External"/><Relationship Id="rId11" Type="http://schemas.openxmlformats.org/officeDocument/2006/relationships/hyperlink" Target="https://bmcinfectdis.biomedcentral.com/articles/10.1186/s12879-019-4093-1"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sciencedirect.com/science/article/abs/pii/S0022283619304310" TargetMode="External"/><Relationship Id="rId4" Type="http://schemas.openxmlformats.org/officeDocument/2006/relationships/footnotes" Target="footnotes.xml"/><Relationship Id="rId9" Type="http://schemas.openxmlformats.org/officeDocument/2006/relationships/hyperlink" Target="https://link.springer.com/article/10.1007/s40265-019-01067-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2020-04-24T15:05:00Z</dcterms:created>
  <dcterms:modified xsi:type="dcterms:W3CDTF">2020-04-25T15:16:00Z</dcterms:modified>
</cp:coreProperties>
</file>